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29663" w14:textId="4AA019A3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052390">
        <w:rPr>
          <w:rFonts w:ascii="Arial" w:hAnsi="Arial" w:cs="Arial"/>
          <w:b/>
          <w:sz w:val="24"/>
          <w:lang w:val="en-US"/>
        </w:rPr>
        <w:t>3GPP TSG-RAN WG4 Meeting #</w:t>
      </w:r>
      <w:r w:rsidR="008A0C86">
        <w:rPr>
          <w:rFonts w:ascii="Arial" w:hAnsi="Arial" w:cs="Arial"/>
          <w:b/>
          <w:sz w:val="24"/>
          <w:lang w:val="en-US"/>
        </w:rPr>
        <w:t>90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B6605A">
        <w:rPr>
          <w:rFonts w:ascii="Arial" w:hAnsi="Arial" w:cs="Arial"/>
          <w:b/>
          <w:sz w:val="24"/>
          <w:lang w:val="en-US"/>
        </w:rPr>
        <w:t>R4-1</w:t>
      </w:r>
      <w:r w:rsidR="008A0C86" w:rsidRPr="00B6605A">
        <w:rPr>
          <w:rFonts w:ascii="Arial" w:hAnsi="Arial" w:cs="Arial"/>
          <w:b/>
          <w:sz w:val="24"/>
          <w:lang w:val="en-US"/>
        </w:rPr>
        <w:t>90</w:t>
      </w:r>
      <w:r w:rsidR="00B6605A">
        <w:rPr>
          <w:rFonts w:ascii="Arial" w:hAnsi="Arial" w:cs="Arial"/>
          <w:b/>
          <w:sz w:val="24"/>
          <w:lang w:val="en-US"/>
        </w:rPr>
        <w:t>0504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A0C86">
        <w:rPr>
          <w:rFonts w:ascii="Arial" w:hAnsi="Arial" w:cs="Arial"/>
          <w:b/>
          <w:sz w:val="24"/>
        </w:rPr>
        <w:t>Athens</w:t>
      </w:r>
      <w:r w:rsidRPr="00DD1C07">
        <w:rPr>
          <w:rFonts w:ascii="Arial" w:hAnsi="Arial" w:cs="Arial"/>
          <w:b/>
          <w:sz w:val="24"/>
        </w:rPr>
        <w:t xml:space="preserve">, </w:t>
      </w:r>
      <w:r w:rsidR="008A0C86">
        <w:rPr>
          <w:rFonts w:ascii="Arial" w:hAnsi="Arial" w:cs="Arial"/>
          <w:b/>
          <w:sz w:val="24"/>
        </w:rPr>
        <w:t>Greece</w:t>
      </w:r>
      <w:r w:rsidRPr="00DD1C07">
        <w:rPr>
          <w:rFonts w:ascii="Arial" w:hAnsi="Arial" w:cs="Arial"/>
          <w:b/>
          <w:sz w:val="24"/>
        </w:rPr>
        <w:t xml:space="preserve">, </w:t>
      </w:r>
      <w:r w:rsidR="008A0C86" w:rsidRPr="008A0C86">
        <w:rPr>
          <w:rFonts w:ascii="Arial" w:hAnsi="Arial" w:cs="Arial"/>
          <w:b/>
          <w:sz w:val="24"/>
        </w:rPr>
        <w:t>25 Feb - 1 Mar 2019</w:t>
      </w:r>
    </w:p>
    <w:p w14:paraId="129008DE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AB0E944" w14:textId="13DB2E7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6605A">
        <w:rPr>
          <w:rFonts w:ascii="Arial" w:hAnsi="Arial" w:cs="Arial"/>
          <w:sz w:val="24"/>
          <w:szCs w:val="24"/>
        </w:rPr>
        <w:t>10.1.3</w:t>
      </w:r>
    </w:p>
    <w:p w14:paraId="2FF1AD85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659A9CA8" w14:textId="270997B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6605A" w:rsidRPr="00B6605A">
        <w:rPr>
          <w:rFonts w:ascii="Arial" w:hAnsi="Arial" w:cs="Arial"/>
          <w:sz w:val="24"/>
          <w:szCs w:val="24"/>
        </w:rPr>
        <w:t>On RRM AoA Selections</w:t>
      </w:r>
    </w:p>
    <w:p w14:paraId="7778D4F6" w14:textId="360F29AB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3435C" w:rsidRPr="00B6605A">
        <w:rPr>
          <w:rFonts w:ascii="Arial" w:hAnsi="Arial" w:cs="Arial"/>
          <w:sz w:val="24"/>
          <w:szCs w:val="24"/>
        </w:rPr>
        <w:t>Approval</w:t>
      </w:r>
    </w:p>
    <w:p w14:paraId="718ECBD6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0E2ED54B" w14:textId="314DA34E" w:rsidR="000606FD" w:rsidRDefault="00B6605A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E64678">
        <w:rPr>
          <w:rFonts w:eastAsia="Batang"/>
        </w:rPr>
        <w:t xml:space="preserve">is highlighting the need to </w:t>
      </w:r>
      <w:r w:rsidR="00E64678">
        <w:t>p</w:t>
      </w:r>
      <w:r w:rsidR="00E64678">
        <w:t>erform the AoA selection process separately for Type 1 and Type 2 requirements</w:t>
      </w:r>
      <w:r w:rsidR="00E64678">
        <w:t>.</w:t>
      </w:r>
      <w:bookmarkStart w:id="1" w:name="_GoBack"/>
      <w:bookmarkEnd w:id="1"/>
    </w:p>
    <w:p w14:paraId="35B95E29" w14:textId="60DA2C97" w:rsidR="0053435C" w:rsidRDefault="009926CB" w:rsidP="0053435C">
      <w:pPr>
        <w:pStyle w:val="Heading1"/>
        <w:ind w:left="567" w:hanging="567"/>
      </w:pPr>
      <w:r>
        <w:t>Fine and Rough Beams</w:t>
      </w:r>
    </w:p>
    <w:p w14:paraId="6E8665BD" w14:textId="0ECF4A18" w:rsidR="00A9040E" w:rsidRDefault="00A9040E" w:rsidP="00A9040E">
      <w:pPr>
        <w:ind w:left="48"/>
        <w:rPr>
          <w:rFonts w:eastAsia="Batang"/>
        </w:rPr>
      </w:pPr>
      <w:r>
        <w:rPr>
          <w:rFonts w:eastAsia="Batang"/>
        </w:rPr>
        <w:t>The FR2 Testability TR is outlining three different RRM scenarios</w:t>
      </w:r>
      <w:r w:rsidR="0079646A">
        <w:rPr>
          <w:rFonts w:eastAsia="Batang"/>
        </w:rPr>
        <w:t xml:space="preserve"> in Clause </w:t>
      </w:r>
      <w:r w:rsidR="0079646A" w:rsidRPr="00F96F5C">
        <w:t>6.2.1.4.2</w:t>
      </w:r>
      <w:r w:rsidR="0079646A">
        <w:t xml:space="preserve"> of </w:t>
      </w:r>
      <w:r w:rsidR="0079646A">
        <w:fldChar w:fldCharType="begin"/>
      </w:r>
      <w:r w:rsidR="0079646A">
        <w:instrText xml:space="preserve"> REF _Ref521398402 \r \h </w:instrText>
      </w:r>
      <w:r w:rsidR="0079646A">
        <w:fldChar w:fldCharType="separate"/>
      </w:r>
      <w:r w:rsidR="0079646A">
        <w:t>[1]</w:t>
      </w:r>
      <w:r w:rsidR="0079646A">
        <w:fldChar w:fldCharType="end"/>
      </w:r>
      <w:r>
        <w:rPr>
          <w:rFonts w:eastAsia="Batang"/>
        </w:rPr>
        <w:t>: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9583"/>
      </w:tblGrid>
      <w:tr w:rsidR="00A9040E" w14:paraId="31073A90" w14:textId="77777777" w:rsidTr="00A9040E">
        <w:tc>
          <w:tcPr>
            <w:tcW w:w="9631" w:type="dxa"/>
          </w:tcPr>
          <w:p w14:paraId="7D5E639A" w14:textId="77777777" w:rsidR="00A9040E" w:rsidRPr="00F96F5C" w:rsidRDefault="00A9040E" w:rsidP="00A9040E">
            <w:pPr>
              <w:spacing w:after="120"/>
              <w:rPr>
                <w:lang w:val="en-US"/>
              </w:rPr>
            </w:pPr>
            <w:r w:rsidRPr="00F96F5C">
              <w:rPr>
                <w:lang w:val="en-US"/>
              </w:rPr>
              <w:t>The following Scenarios for RRM requirements have been identified and can be supported by the NR RRM Test Methods:</w:t>
            </w:r>
          </w:p>
          <w:p w14:paraId="291FFB1D" w14:textId="77777777" w:rsidR="00A9040E" w:rsidRPr="00F96F5C" w:rsidRDefault="00A9040E" w:rsidP="00A9040E">
            <w:pPr>
              <w:spacing w:after="120"/>
              <w:ind w:left="564" w:hanging="280"/>
              <w:rPr>
                <w:lang w:val="en-US"/>
              </w:rPr>
            </w:pPr>
            <w:r w:rsidRPr="00F96F5C">
              <w:rPr>
                <w:lang w:val="en-US"/>
              </w:rPr>
              <w:t>-</w:t>
            </w:r>
            <w:r w:rsidRPr="00F96F5C">
              <w:rPr>
                <w:lang w:val="en-US"/>
              </w:rPr>
              <w:tab/>
            </w:r>
            <w:r w:rsidRPr="00F96F5C">
              <w:rPr>
                <w:lang w:val="en-US"/>
              </w:rPr>
              <w:t xml:space="preserve">Scenario 1: </w:t>
            </w:r>
          </w:p>
          <w:p w14:paraId="4AF15E3A" w14:textId="77777777" w:rsidR="00A9040E" w:rsidRPr="00F96F5C" w:rsidRDefault="00A9040E" w:rsidP="00A9040E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rPr>
                <w:lang w:val="en-US"/>
              </w:rPr>
              <w:t>RRM requirement with single Angle of Arrival (1 AoA) with signal and noise coming from RX beam peak direction.</w:t>
            </w:r>
          </w:p>
          <w:p w14:paraId="28B8B6FB" w14:textId="77777777" w:rsidR="00A9040E" w:rsidRPr="00F96F5C" w:rsidRDefault="00A9040E" w:rsidP="00A9040E">
            <w:pPr>
              <w:spacing w:after="120"/>
              <w:ind w:left="564" w:hanging="280"/>
              <w:rPr>
                <w:lang w:val="en-US"/>
              </w:rPr>
            </w:pPr>
            <w:r w:rsidRPr="00F96F5C">
              <w:rPr>
                <w:lang w:val="en-US"/>
              </w:rPr>
              <w:t>-</w:t>
            </w:r>
            <w:r w:rsidRPr="00F96F5C">
              <w:rPr>
                <w:lang w:val="en-US"/>
              </w:rPr>
              <w:tab/>
            </w:r>
            <w:r w:rsidRPr="00F96F5C">
              <w:rPr>
                <w:lang w:val="en-US"/>
              </w:rPr>
              <w:t xml:space="preserve">Scenario 2: </w:t>
            </w:r>
          </w:p>
          <w:p w14:paraId="515081D7" w14:textId="77777777" w:rsidR="00A9040E" w:rsidRPr="00F96F5C" w:rsidRDefault="00A9040E" w:rsidP="00A9040E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rPr>
                <w:lang w:val="en-US"/>
              </w:rPr>
              <w:t>RRM requirement with single Angle of Arrival (1 AoA) with signal and noise coming from RX non-beam peak direction.</w:t>
            </w:r>
          </w:p>
          <w:p w14:paraId="1891F9F6" w14:textId="77777777" w:rsidR="00A9040E" w:rsidRPr="00A9040E" w:rsidRDefault="00A9040E" w:rsidP="00A9040E">
            <w:pPr>
              <w:spacing w:after="120"/>
              <w:ind w:left="564" w:hanging="280"/>
              <w:rPr>
                <w:highlight w:val="yellow"/>
                <w:lang w:val="en-US"/>
              </w:rPr>
            </w:pPr>
            <w:r w:rsidRPr="00F96F5C">
              <w:rPr>
                <w:lang w:val="en-US"/>
              </w:rPr>
              <w:t>-</w:t>
            </w:r>
            <w:r w:rsidRPr="00F96F5C">
              <w:rPr>
                <w:lang w:val="en-US"/>
              </w:rPr>
              <w:tab/>
            </w:r>
            <w:r w:rsidRPr="00A9040E">
              <w:rPr>
                <w:highlight w:val="yellow"/>
                <w:lang w:val="en-US"/>
              </w:rPr>
              <w:t xml:space="preserve">Scenario 3: </w:t>
            </w:r>
          </w:p>
          <w:p w14:paraId="4F274823" w14:textId="35244E4B" w:rsidR="00A9040E" w:rsidRPr="00A9040E" w:rsidRDefault="00A9040E" w:rsidP="00A9040E">
            <w:pPr>
              <w:pStyle w:val="B2"/>
              <w:rPr>
                <w:lang w:val="en-US"/>
              </w:rPr>
            </w:pPr>
            <w:r w:rsidRPr="00A9040E">
              <w:rPr>
                <w:highlight w:val="yellow"/>
                <w:lang w:val="en-US"/>
              </w:rPr>
              <w:t>-</w:t>
            </w:r>
            <w:r w:rsidRPr="00A9040E">
              <w:rPr>
                <w:highlight w:val="yellow"/>
                <w:lang w:val="en-US"/>
              </w:rPr>
              <w:tab/>
            </w:r>
            <w:r w:rsidRPr="00A9040E">
              <w:rPr>
                <w:highlight w:val="yellow"/>
                <w:lang w:val="en-US"/>
              </w:rPr>
              <w:t>RRM requirement with two Angle of Arrivals (2 AoAs).</w:t>
            </w:r>
          </w:p>
        </w:tc>
      </w:tr>
    </w:tbl>
    <w:p w14:paraId="617567D2" w14:textId="43619653" w:rsidR="00A9040E" w:rsidRDefault="00A9040E" w:rsidP="00A9040E">
      <w:pPr>
        <w:spacing w:before="120"/>
        <w:ind w:left="43"/>
        <w:rPr>
          <w:rFonts w:eastAsia="Batang"/>
        </w:rPr>
      </w:pPr>
      <w:r>
        <w:rPr>
          <w:rFonts w:eastAsia="Batang"/>
        </w:rPr>
        <w:t xml:space="preserve">Only Scenario 3 </w:t>
      </w:r>
      <w:r w:rsidR="0079646A">
        <w:rPr>
          <w:rFonts w:eastAsia="Batang"/>
        </w:rPr>
        <w:t>with</w:t>
      </w:r>
      <w:r>
        <w:rPr>
          <w:rFonts w:eastAsia="Batang"/>
        </w:rPr>
        <w:t xml:space="preserve"> 2 AoAs is further considered in this contribution</w:t>
      </w:r>
      <w:r w:rsidR="0079646A">
        <w:rPr>
          <w:rFonts w:eastAsia="Batang"/>
        </w:rPr>
        <w:t xml:space="preserve">. The AoA selection process is outlined at a very high level in </w:t>
      </w:r>
      <w:r w:rsidR="0079646A">
        <w:rPr>
          <w:rFonts w:eastAsia="Batang"/>
        </w:rPr>
        <w:fldChar w:fldCharType="begin"/>
      </w:r>
      <w:r w:rsidR="0079646A">
        <w:rPr>
          <w:rFonts w:eastAsia="Batang"/>
        </w:rPr>
        <w:instrText xml:space="preserve"> REF _Ref521398402 \r \h </w:instrText>
      </w:r>
      <w:r w:rsidR="0079646A">
        <w:rPr>
          <w:rFonts w:eastAsia="Batang"/>
        </w:rPr>
      </w:r>
      <w:r w:rsidR="0079646A">
        <w:rPr>
          <w:rFonts w:eastAsia="Batang"/>
        </w:rPr>
        <w:fldChar w:fldCharType="separate"/>
      </w:r>
      <w:r w:rsidR="0079646A">
        <w:rPr>
          <w:rFonts w:eastAsia="Batang"/>
        </w:rPr>
        <w:t>[1]</w:t>
      </w:r>
      <w:r w:rsidR="0079646A">
        <w:rPr>
          <w:rFonts w:eastAsia="Batang"/>
        </w:rPr>
        <w:fldChar w:fldCharType="end"/>
      </w:r>
      <w:r w:rsidR="0079646A">
        <w:rPr>
          <w:rFonts w:eastAsia="Batang"/>
        </w:rPr>
        <w:t>:</w:t>
      </w:r>
    </w:p>
    <w:tbl>
      <w:tblPr>
        <w:tblStyle w:val="TableGrid"/>
        <w:tblW w:w="0" w:type="auto"/>
        <w:tblInd w:w="43" w:type="dxa"/>
        <w:tblLook w:val="04A0" w:firstRow="1" w:lastRow="0" w:firstColumn="1" w:lastColumn="0" w:noHBand="0" w:noVBand="1"/>
      </w:tblPr>
      <w:tblGrid>
        <w:gridCol w:w="9588"/>
      </w:tblGrid>
      <w:tr w:rsidR="0079646A" w14:paraId="660BDC2A" w14:textId="77777777" w:rsidTr="0079646A">
        <w:tc>
          <w:tcPr>
            <w:tcW w:w="9631" w:type="dxa"/>
          </w:tcPr>
          <w:p w14:paraId="3B6CB929" w14:textId="77777777" w:rsidR="0079646A" w:rsidRPr="00F96F5C" w:rsidRDefault="0079646A" w:rsidP="0079646A">
            <w:pPr>
              <w:pStyle w:val="B2"/>
              <w:ind w:left="0" w:firstLine="0"/>
            </w:pPr>
            <w:r w:rsidRPr="00F96F5C">
              <w:t>For selecting the testing direction (AoA to test the requirement) fulfilling certain preconditions, two methods are feasible from the perspective of RRM baseline measurement setup, as follows:</w:t>
            </w:r>
          </w:p>
          <w:p w14:paraId="55082246" w14:textId="77777777" w:rsidR="0079646A" w:rsidRPr="00F96F5C" w:rsidRDefault="0079646A" w:rsidP="0079646A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t xml:space="preserve">Method 1: Run a pretest in the RRM baseline measurement system to identify all the directions (with a given spatial granularity) at which the UE fulfils a given precondition (e.g. spherical coverage EIS). The testing directions are then chosen out of the valid directions, following a given rule. The precondition to be fulfilled, and the rule how to select the testing direction out of the valid directions, are specified in the test description.   </w:t>
            </w:r>
          </w:p>
          <w:p w14:paraId="15B1EE33" w14:textId="1CA704DA" w:rsidR="0079646A" w:rsidRPr="0079646A" w:rsidRDefault="0079646A" w:rsidP="0079646A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t>Method 2: For each given potential direction, test first a given precondition (e.g. minimum TP for a given power), which validates the direction as valid for testing or not. If the direction is valid, test the requirement, if not, jump to the next potential direction following a given rule. The rule how to select the potential directions and the precondition to validate them as testing direction, are specified in the test description</w:t>
            </w:r>
            <w:r>
              <w:t>.</w:t>
            </w:r>
          </w:p>
        </w:tc>
      </w:tr>
    </w:tbl>
    <w:p w14:paraId="11D0C718" w14:textId="114A5B26" w:rsidR="002A5308" w:rsidRDefault="00284452" w:rsidP="00A9040E">
      <w:pPr>
        <w:spacing w:before="120"/>
        <w:ind w:left="43"/>
        <w:rPr>
          <w:rFonts w:eastAsia="Batang"/>
        </w:rPr>
      </w:pPr>
      <w:r>
        <w:rPr>
          <w:rFonts w:eastAsia="Batang"/>
        </w:rPr>
        <w:t>For the Scenario 3, e</w:t>
      </w:r>
      <w:r w:rsidR="0079646A">
        <w:rPr>
          <w:rFonts w:eastAsia="Batang"/>
        </w:rPr>
        <w:t xml:space="preserve">ither method </w:t>
      </w:r>
      <w:r>
        <w:rPr>
          <w:rFonts w:eastAsia="Batang"/>
        </w:rPr>
        <w:t xml:space="preserve">could be used to determine a set of AoAs that meet given rules. Special care will be required to match the selection of AoAs to the types of RRM requirements, i.e., Type 1 and Type 2 as outlined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_Ref521398402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</w:p>
    <w:p w14:paraId="183E5FA0" w14:textId="77777777" w:rsidR="002A5308" w:rsidRDefault="002A5308">
      <w:pPr>
        <w:spacing w:after="0"/>
        <w:rPr>
          <w:rFonts w:eastAsia="Batang"/>
        </w:rPr>
      </w:pPr>
      <w:r>
        <w:rPr>
          <w:rFonts w:eastAsia="Batang"/>
        </w:rPr>
        <w:br w:type="page"/>
      </w:r>
    </w:p>
    <w:tbl>
      <w:tblPr>
        <w:tblStyle w:val="TableGrid"/>
        <w:tblW w:w="0" w:type="auto"/>
        <w:tblInd w:w="43" w:type="dxa"/>
        <w:tblLook w:val="04A0" w:firstRow="1" w:lastRow="0" w:firstColumn="1" w:lastColumn="0" w:noHBand="0" w:noVBand="1"/>
      </w:tblPr>
      <w:tblGrid>
        <w:gridCol w:w="9588"/>
      </w:tblGrid>
      <w:tr w:rsidR="00284452" w14:paraId="52B1540E" w14:textId="77777777" w:rsidTr="002A5308">
        <w:tc>
          <w:tcPr>
            <w:tcW w:w="9588" w:type="dxa"/>
          </w:tcPr>
          <w:p w14:paraId="77F273B3" w14:textId="77777777" w:rsidR="00284452" w:rsidRPr="00F96F5C" w:rsidRDefault="00284452" w:rsidP="002A5308">
            <w:pPr>
              <w:spacing w:after="0"/>
              <w:rPr>
                <w:lang w:val="en-US"/>
              </w:rPr>
            </w:pPr>
            <w:r w:rsidRPr="00F96F5C">
              <w:rPr>
                <w:lang w:val="en-US"/>
              </w:rPr>
              <w:lastRenderedPageBreak/>
              <w:t>The following Types of RRM requirements have been identified and can be supported by the NR RRM Test Methods:</w:t>
            </w:r>
          </w:p>
          <w:p w14:paraId="2B4D9955" w14:textId="77777777" w:rsidR="00284452" w:rsidRPr="00F96F5C" w:rsidRDefault="00284452" w:rsidP="002A5308">
            <w:pPr>
              <w:spacing w:after="0"/>
              <w:ind w:left="564" w:hanging="280"/>
              <w:rPr>
                <w:lang w:val="en-US"/>
              </w:rPr>
            </w:pPr>
            <w:r w:rsidRPr="00F96F5C">
              <w:rPr>
                <w:lang w:val="en-US"/>
              </w:rPr>
              <w:t>-</w:t>
            </w:r>
            <w:r w:rsidRPr="00F96F5C">
              <w:rPr>
                <w:lang w:val="en-US"/>
              </w:rPr>
              <w:tab/>
            </w:r>
            <w:r w:rsidRPr="00F96F5C">
              <w:rPr>
                <w:lang w:val="en-US"/>
              </w:rPr>
              <w:t xml:space="preserve">Type 1: </w:t>
            </w:r>
          </w:p>
          <w:p w14:paraId="5B001CBB" w14:textId="77777777" w:rsidR="00284452" w:rsidRPr="00F96F5C" w:rsidRDefault="00284452" w:rsidP="002A5308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rPr>
                <w:lang w:val="en-US"/>
              </w:rPr>
              <w:t>RRM requirements defined under the assumption that the UE is using “Fine” UE RX beams.</w:t>
            </w:r>
          </w:p>
          <w:p w14:paraId="2E5B1D62" w14:textId="77777777" w:rsidR="00284452" w:rsidRPr="00F96F5C" w:rsidRDefault="00284452" w:rsidP="002A5308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rPr>
                <w:lang w:val="en-US"/>
              </w:rPr>
              <w:t>“Fine” UE RX beams are the beams used by the UE to perform PDSCH reception and used to define UE RF requirements (e.g. EIS, EIS spherical coverage)</w:t>
            </w:r>
          </w:p>
          <w:p w14:paraId="7882FE35" w14:textId="77777777" w:rsidR="00284452" w:rsidRPr="00F96F5C" w:rsidRDefault="00284452" w:rsidP="002A5308">
            <w:pPr>
              <w:spacing w:after="0"/>
              <w:ind w:left="284"/>
              <w:rPr>
                <w:lang w:val="en-US"/>
              </w:rPr>
            </w:pPr>
            <w:r w:rsidRPr="00F96F5C">
              <w:rPr>
                <w:lang w:val="en-US"/>
              </w:rPr>
              <w:t>-</w:t>
            </w:r>
            <w:r w:rsidRPr="00F96F5C">
              <w:rPr>
                <w:lang w:val="en-US"/>
              </w:rPr>
              <w:tab/>
            </w:r>
            <w:r w:rsidRPr="00F96F5C">
              <w:rPr>
                <w:lang w:val="en-US"/>
              </w:rPr>
              <w:t xml:space="preserve">Type 2: </w:t>
            </w:r>
          </w:p>
          <w:p w14:paraId="545F2DA4" w14:textId="77777777" w:rsidR="00284452" w:rsidRPr="00F96F5C" w:rsidRDefault="00284452" w:rsidP="002A5308">
            <w:pPr>
              <w:pStyle w:val="B2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rPr>
                <w:lang w:val="en-US"/>
              </w:rPr>
              <w:t>Requirements defined under the assumption that the UE is using “Rough” UE RX beams.</w:t>
            </w:r>
          </w:p>
          <w:p w14:paraId="0E118F40" w14:textId="1F16B130" w:rsidR="00284452" w:rsidRDefault="00284452" w:rsidP="002A5308">
            <w:pPr>
              <w:pStyle w:val="B2"/>
              <w:spacing w:after="0"/>
              <w:rPr>
                <w:rFonts w:eastAsia="Batang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96F5C">
              <w:rPr>
                <w:lang w:val="en-US"/>
              </w:rPr>
              <w:t>“Rough” UE RX beams are the beams which the UE is using for RRM measurements (e.g. for SSB measurements)</w:t>
            </w:r>
          </w:p>
        </w:tc>
      </w:tr>
    </w:tbl>
    <w:p w14:paraId="2B17153F" w14:textId="5E7C2E13" w:rsidR="008B0248" w:rsidRDefault="008B0248" w:rsidP="00A9040E">
      <w:pPr>
        <w:spacing w:before="120"/>
        <w:ind w:left="43"/>
        <w:rPr>
          <w:rFonts w:eastAsia="Batang"/>
        </w:rPr>
      </w:pPr>
      <w:r>
        <w:rPr>
          <w:rFonts w:eastAsia="Batang"/>
        </w:rPr>
        <w:t xml:space="preserve">A suitable AoA selection process based on Method 1 and for Type 1 has been outlined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_Ref1078121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[2]</w:t>
      </w:r>
      <w:r>
        <w:rPr>
          <w:rFonts w:eastAsia="Batang"/>
        </w:rPr>
        <w:fldChar w:fldCharType="end"/>
      </w:r>
      <w:r>
        <w:rPr>
          <w:rFonts w:eastAsia="Batang"/>
        </w:rPr>
        <w:t>:</w:t>
      </w:r>
    </w:p>
    <w:tbl>
      <w:tblPr>
        <w:tblStyle w:val="TableGrid"/>
        <w:tblW w:w="0" w:type="auto"/>
        <w:tblInd w:w="43" w:type="dxa"/>
        <w:tblLook w:val="04A0" w:firstRow="1" w:lastRow="0" w:firstColumn="1" w:lastColumn="0" w:noHBand="0" w:noVBand="1"/>
      </w:tblPr>
      <w:tblGrid>
        <w:gridCol w:w="9588"/>
      </w:tblGrid>
      <w:tr w:rsidR="008B0248" w14:paraId="247FEE77" w14:textId="77777777" w:rsidTr="008B0248">
        <w:tc>
          <w:tcPr>
            <w:tcW w:w="9631" w:type="dxa"/>
          </w:tcPr>
          <w:p w14:paraId="5AEC1F73" w14:textId="77777777" w:rsidR="008B0248" w:rsidRDefault="008B0248" w:rsidP="008B0248">
            <w:pPr>
              <w:numPr>
                <w:ilvl w:val="0"/>
                <w:numId w:val="33"/>
              </w:numPr>
              <w:spacing w:after="60"/>
            </w:pPr>
            <w:r>
              <w:t>Select the largest separation between RRM baseline probes (relative angle = 150</w:t>
            </w:r>
            <w:r w:rsidRPr="00573148">
              <w:rPr>
                <w:vertAlign w:val="superscript"/>
              </w:rPr>
              <w:t>o</w:t>
            </w:r>
            <w:r>
              <w:t>)</w:t>
            </w:r>
          </w:p>
          <w:p w14:paraId="2F7F5EE9" w14:textId="77777777" w:rsidR="008B0248" w:rsidRDefault="008B0248" w:rsidP="008B0248">
            <w:pPr>
              <w:numPr>
                <w:ilvl w:val="0"/>
                <w:numId w:val="33"/>
              </w:numPr>
              <w:spacing w:after="60"/>
            </w:pPr>
            <w:r>
              <w:t>Select 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AoA1</w:t>
            </w:r>
            <w:r>
              <w:rPr>
                <w:vertAlign w:val="subscript"/>
              </w:rPr>
              <w:t xml:space="preserve"> </w:t>
            </w:r>
            <w:r>
              <w:t>(Link polarization of Probe 1) to be θ</w:t>
            </w:r>
          </w:p>
          <w:p w14:paraId="4468EC35" w14:textId="77777777" w:rsidR="008B0248" w:rsidRDefault="008B0248" w:rsidP="008B0248">
            <w:pPr>
              <w:numPr>
                <w:ilvl w:val="0"/>
                <w:numId w:val="33"/>
              </w:numPr>
              <w:spacing w:after="60"/>
            </w:pPr>
            <w:r>
              <w:t>Select 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</w:t>
            </w:r>
            <w:r>
              <w:rPr>
                <w:vertAlign w:val="subscript"/>
              </w:rPr>
              <w:t xml:space="preserve">2 </w:t>
            </w:r>
            <w:r>
              <w:t>(Link polarization of Probe 2) to be θ</w:t>
            </w:r>
          </w:p>
          <w:p w14:paraId="083A85BF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Position the device to meet orientation (</w:t>
            </w:r>
            <w:r w:rsidRPr="00573148">
              <w:rPr>
                <w:rFonts w:ascii="Symbol" w:hAnsi="Symbol"/>
              </w:rPr>
              <w:t></w:t>
            </w:r>
            <w:r w:rsidRPr="00573148">
              <w:rPr>
                <w:vertAlign w:val="subscript"/>
              </w:rPr>
              <w:t>1</w:t>
            </w:r>
            <w:r>
              <w:t>,</w:t>
            </w:r>
            <w:r w:rsidRPr="00573148">
              <w:rPr>
                <w:rFonts w:ascii="Symbol" w:hAnsi="Symbol"/>
              </w:rPr>
              <w:t></w:t>
            </w:r>
            <w:r w:rsidRPr="00573148">
              <w:rPr>
                <w:vertAlign w:val="subscript"/>
              </w:rPr>
              <w:t>1</w:t>
            </w:r>
            <w:r>
              <w:t>)</w:t>
            </w:r>
          </w:p>
          <w:p w14:paraId="4829B7B8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Connect SS to AoA1 with 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AoA1</w:t>
            </w:r>
          </w:p>
          <w:p w14:paraId="0379E4B1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Allow the UE to form the beam (dwell time)</w:t>
            </w:r>
          </w:p>
          <w:p w14:paraId="7646FB6B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Determine whether the UE meets the EIS spherical requirement for UE orientation (</w:t>
            </w:r>
            <w:r w:rsidRPr="00573148">
              <w:rPr>
                <w:rFonts w:ascii="Symbol" w:hAnsi="Symbol"/>
              </w:rPr>
              <w:t></w:t>
            </w:r>
            <w:r w:rsidRPr="00573148">
              <w:rPr>
                <w:vertAlign w:val="subscript"/>
              </w:rPr>
              <w:t>1</w:t>
            </w:r>
            <w:r>
              <w:t>,</w:t>
            </w:r>
            <w:r w:rsidRPr="00573148">
              <w:rPr>
                <w:rFonts w:ascii="Symbol" w:hAnsi="Symbol"/>
              </w:rPr>
              <w:t></w:t>
            </w:r>
            <w:r w:rsidRPr="00573148">
              <w:rPr>
                <w:vertAlign w:val="subscript"/>
              </w:rPr>
              <w:t>1</w:t>
            </w:r>
            <w:r>
              <w:t>) with Probe</w:t>
            </w:r>
            <w:r w:rsidRPr="00314CA0">
              <w:t xml:space="preserve"> </w:t>
            </w:r>
            <w:r>
              <w:t>AoA1 and 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AoA1</w:t>
            </w:r>
            <w:r w:rsidRPr="004E6D8C">
              <w:t xml:space="preserve">= </w:t>
            </w:r>
            <w:r>
              <w:t>Pol</w:t>
            </w:r>
            <w:r>
              <w:rPr>
                <w:vertAlign w:val="subscript"/>
              </w:rPr>
              <w:t>Meas,</w:t>
            </w:r>
            <w:r w:rsidRPr="00573148">
              <w:rPr>
                <w:vertAlign w:val="subscript"/>
              </w:rPr>
              <w:t>AoA1</w:t>
            </w:r>
          </w:p>
          <w:p w14:paraId="1C281CA7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EIS (AoA1,</w:t>
            </w:r>
            <w:r w:rsidRPr="00573148">
              <w:rPr>
                <w:rFonts w:ascii="Symbol" w:hAnsi="Symbol"/>
              </w:rPr>
              <w:t></w:t>
            </w:r>
            <w:r w:rsidRPr="00573148">
              <w:rPr>
                <w:vertAlign w:val="subscript"/>
              </w:rPr>
              <w:t>1</w:t>
            </w:r>
            <w:r>
              <w:t>,</w:t>
            </w:r>
            <w:r w:rsidRPr="00573148">
              <w:rPr>
                <w:rFonts w:ascii="Symbol" w:hAnsi="Symbol"/>
              </w:rPr>
              <w:t></w:t>
            </w:r>
            <w:r w:rsidRPr="00573148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, </w:t>
            </w:r>
            <w:r>
              <w:t>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AoA1</w:t>
            </w:r>
            <w:r>
              <w:t>) meets the spherical coverage requirement</w:t>
            </w:r>
          </w:p>
          <w:p w14:paraId="49DFF1FB" w14:textId="77777777" w:rsidR="008B0248" w:rsidRDefault="008B0248" w:rsidP="008B0248">
            <w:pPr>
              <w:numPr>
                <w:ilvl w:val="2"/>
                <w:numId w:val="34"/>
              </w:numPr>
              <w:spacing w:after="60"/>
            </w:pPr>
            <w:r>
              <w:t>Connect SS to AoA2</w:t>
            </w:r>
          </w:p>
          <w:p w14:paraId="2F5316AE" w14:textId="77777777" w:rsidR="008B0248" w:rsidRDefault="008B0248" w:rsidP="008B0248">
            <w:pPr>
              <w:numPr>
                <w:ilvl w:val="2"/>
                <w:numId w:val="34"/>
              </w:numPr>
              <w:spacing w:after="60"/>
            </w:pPr>
            <w:r>
              <w:t>Allow the UE to form the beam (dwell time)</w:t>
            </w:r>
          </w:p>
          <w:p w14:paraId="2199EBA7" w14:textId="77777777" w:rsidR="008B0248" w:rsidRDefault="008B0248" w:rsidP="008B0248">
            <w:pPr>
              <w:numPr>
                <w:ilvl w:val="2"/>
                <w:numId w:val="34"/>
              </w:numPr>
              <w:spacing w:after="60"/>
            </w:pPr>
            <w:r>
              <w:t>Determine whether the UE meets the EIS spherical requirement for UE orientation (</w:t>
            </w:r>
            <w:r w:rsidRPr="00573148">
              <w:rPr>
                <w:rFonts w:ascii="Symbol" w:hAnsi="Symbol"/>
              </w:rPr>
              <w:t></w:t>
            </w:r>
            <w:r w:rsidRPr="00573148">
              <w:rPr>
                <w:vertAlign w:val="subscript"/>
              </w:rPr>
              <w:t>1</w:t>
            </w:r>
            <w:r>
              <w:t>,</w:t>
            </w:r>
            <w:r w:rsidRPr="00573148">
              <w:rPr>
                <w:rFonts w:ascii="Symbol" w:hAnsi="Symbol"/>
              </w:rPr>
              <w:t></w:t>
            </w:r>
            <w:r w:rsidRPr="00573148">
              <w:rPr>
                <w:vertAlign w:val="subscript"/>
              </w:rPr>
              <w:t>1</w:t>
            </w:r>
            <w:r>
              <w:t>) with Probe</w:t>
            </w:r>
            <w:r w:rsidRPr="00314CA0">
              <w:t xml:space="preserve"> </w:t>
            </w:r>
            <w:r>
              <w:t>AoA2 and 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</w:t>
            </w:r>
            <w:r>
              <w:rPr>
                <w:vertAlign w:val="subscript"/>
              </w:rPr>
              <w:t>2</w:t>
            </w:r>
            <w:r w:rsidRPr="004E6D8C">
              <w:t xml:space="preserve">= </w:t>
            </w:r>
            <w:r>
              <w:t>Pol</w:t>
            </w:r>
            <w:r>
              <w:rPr>
                <w:vertAlign w:val="subscript"/>
              </w:rPr>
              <w:t>Meas,</w:t>
            </w:r>
            <w:r w:rsidRPr="00573148">
              <w:rPr>
                <w:vertAlign w:val="subscript"/>
              </w:rPr>
              <w:t>AoA</w:t>
            </w:r>
            <w:r>
              <w:rPr>
                <w:vertAlign w:val="subscript"/>
              </w:rPr>
              <w:t>2</w:t>
            </w:r>
          </w:p>
          <w:p w14:paraId="28F2225D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EIS (AoA1,</w:t>
            </w:r>
            <w:r w:rsidRPr="00573148">
              <w:rPr>
                <w:rFonts w:ascii="Symbol" w:hAnsi="Symbol"/>
              </w:rPr>
              <w:t></w:t>
            </w:r>
            <w:r w:rsidRPr="00573148">
              <w:rPr>
                <w:vertAlign w:val="subscript"/>
              </w:rPr>
              <w:t>1</w:t>
            </w:r>
            <w:r>
              <w:t>,</w:t>
            </w:r>
            <w:r w:rsidRPr="00573148">
              <w:rPr>
                <w:rFonts w:ascii="Symbol" w:hAnsi="Symbol"/>
              </w:rPr>
              <w:t></w:t>
            </w:r>
            <w:r w:rsidRPr="00573148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, </w:t>
            </w:r>
            <w:r>
              <w:t>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</w:t>
            </w:r>
            <w:r>
              <w:rPr>
                <w:vertAlign w:val="subscript"/>
              </w:rPr>
              <w:t>1</w:t>
            </w:r>
            <w:r>
              <w:t>) and EIS (AoA2,</w:t>
            </w:r>
            <w:r w:rsidRPr="00573148">
              <w:rPr>
                <w:rFonts w:ascii="Symbol" w:hAnsi="Symbol"/>
              </w:rPr>
              <w:t></w:t>
            </w:r>
            <w:r w:rsidRPr="00573148">
              <w:rPr>
                <w:vertAlign w:val="subscript"/>
              </w:rPr>
              <w:t>1</w:t>
            </w:r>
            <w:r>
              <w:t>,</w:t>
            </w:r>
            <w:r w:rsidRPr="00573148">
              <w:rPr>
                <w:rFonts w:ascii="Symbol" w:hAnsi="Symbol"/>
              </w:rPr>
              <w:t></w:t>
            </w:r>
            <w:r w:rsidRPr="00573148">
              <w:rPr>
                <w:vertAlign w:val="subscript"/>
              </w:rPr>
              <w:t>1</w:t>
            </w:r>
            <w:r>
              <w:rPr>
                <w:vertAlign w:val="subscript"/>
              </w:rPr>
              <w:t xml:space="preserve">, </w:t>
            </w:r>
            <w:r>
              <w:t>Pol</w:t>
            </w:r>
            <w:r w:rsidRPr="00573148">
              <w:rPr>
                <w:vertAlign w:val="subscript"/>
              </w:rPr>
              <w:t>Link</w:t>
            </w:r>
            <w:r>
              <w:rPr>
                <w:vertAlign w:val="subscript"/>
              </w:rPr>
              <w:t>,</w:t>
            </w:r>
            <w:r w:rsidRPr="00573148">
              <w:rPr>
                <w:vertAlign w:val="subscript"/>
              </w:rPr>
              <w:t>AoA</w:t>
            </w:r>
            <w:r>
              <w:rPr>
                <w:vertAlign w:val="subscript"/>
              </w:rPr>
              <w:t>2</w:t>
            </w:r>
            <w:r>
              <w:t xml:space="preserve">) pass the spherical coverage requirements, use this set for the RRM dual active probe scenario test cases. </w:t>
            </w:r>
          </w:p>
          <w:p w14:paraId="6C1D0234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the EIS (AoA1,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1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 xml:space="preserve">1, </w:t>
            </w:r>
            <w:r>
              <w:t>Pol</w:t>
            </w:r>
            <w:r w:rsidRPr="00D14AA5">
              <w:rPr>
                <w:vertAlign w:val="subscript"/>
              </w:rPr>
              <w:t>Link,AoA</w:t>
            </w:r>
            <w:r>
              <w:rPr>
                <w:vertAlign w:val="subscript"/>
              </w:rPr>
              <w:t>1</w:t>
            </w:r>
            <w:r>
              <w:t>) and EIS (AoA2,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1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 xml:space="preserve">1, </w:t>
            </w:r>
            <w:r>
              <w:t>Pol</w:t>
            </w:r>
            <w:r w:rsidRPr="00D14AA5">
              <w:rPr>
                <w:vertAlign w:val="subscript"/>
              </w:rPr>
              <w:t>Link,AoA2</w:t>
            </w:r>
            <w:r>
              <w:t>) do not pass the spherical coverage requirements, move to the next UE position/orientation (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2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>2</w:t>
            </w:r>
            <w:r>
              <w:t xml:space="preserve">) and perform steps a-f. </w:t>
            </w:r>
          </w:p>
          <w:p w14:paraId="2FEA7C7A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none of the UE positions/orientations (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i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>i</w:t>
            </w:r>
            <w:r>
              <w:t>) yield passing sets of EIS spherical coverage results, change Pol</w:t>
            </w:r>
            <w:r w:rsidRPr="00D14AA5">
              <w:rPr>
                <w:vertAlign w:val="subscript"/>
              </w:rPr>
              <w:t>Link,AoA</w:t>
            </w:r>
            <w:r>
              <w:rPr>
                <w:vertAlign w:val="subscript"/>
              </w:rPr>
              <w:t>2</w:t>
            </w:r>
            <w:r w:rsidRPr="00D14AA5">
              <w:rPr>
                <w:vertAlign w:val="subscript"/>
              </w:rPr>
              <w:t xml:space="preserve"> </w:t>
            </w:r>
            <w:r>
              <w:t>(Link polarization of Probe 2) to φ and perform steps a-g</w:t>
            </w:r>
          </w:p>
          <w:p w14:paraId="51B62A43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none of the UE positions/orientations (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i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>i</w:t>
            </w:r>
            <w:r>
              <w:t>) yield passing sets of EIS spherical coverage results, change Pol</w:t>
            </w:r>
            <w:r w:rsidRPr="00D14AA5">
              <w:rPr>
                <w:vertAlign w:val="subscript"/>
              </w:rPr>
              <w:t>Link,AoA</w:t>
            </w:r>
            <w:r>
              <w:rPr>
                <w:vertAlign w:val="subscript"/>
              </w:rPr>
              <w:t>1</w:t>
            </w:r>
            <w:r w:rsidRPr="00D14AA5">
              <w:rPr>
                <w:vertAlign w:val="subscript"/>
              </w:rPr>
              <w:t xml:space="preserve"> </w:t>
            </w:r>
            <w:r>
              <w:t>(Link polarization of Probe 1) to φ and perform steps a-h</w:t>
            </w:r>
          </w:p>
          <w:p w14:paraId="5480334A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none of the UE positions/orientations (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i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>i</w:t>
            </w:r>
            <w:r>
              <w:t>) yield passing sets of EIS spherical coverage results, change Pol</w:t>
            </w:r>
            <w:r w:rsidRPr="00D14AA5">
              <w:rPr>
                <w:vertAlign w:val="subscript"/>
              </w:rPr>
              <w:t>Link,AoA</w:t>
            </w:r>
            <w:r>
              <w:rPr>
                <w:vertAlign w:val="subscript"/>
              </w:rPr>
              <w:t>2</w:t>
            </w:r>
            <w:r w:rsidRPr="00D14AA5">
              <w:rPr>
                <w:vertAlign w:val="subscript"/>
              </w:rPr>
              <w:t xml:space="preserve"> </w:t>
            </w:r>
            <w:r>
              <w:t>(Link polarization of Probe 2) to θ and perform steps a-i</w:t>
            </w:r>
          </w:p>
          <w:p w14:paraId="553C8DC0" w14:textId="77777777" w:rsid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If none of the UE positions/orientations (</w:t>
            </w:r>
            <w:r w:rsidRPr="00D14AA5">
              <w:rPr>
                <w:rFonts w:ascii="Symbol" w:hAnsi="Symbol"/>
              </w:rPr>
              <w:t></w:t>
            </w:r>
            <w:r w:rsidRPr="00D14AA5">
              <w:rPr>
                <w:vertAlign w:val="subscript"/>
              </w:rPr>
              <w:t>i</w:t>
            </w:r>
            <w:r>
              <w:t>,</w:t>
            </w:r>
            <w:r w:rsidRPr="00D14AA5">
              <w:rPr>
                <w:rFonts w:ascii="Symbol" w:hAnsi="Symbol"/>
              </w:rPr>
              <w:t></w:t>
            </w:r>
            <w:r w:rsidRPr="00D14AA5">
              <w:rPr>
                <w:vertAlign w:val="subscript"/>
              </w:rPr>
              <w:t>i</w:t>
            </w:r>
            <w:r>
              <w:t>) yield passing sets of EIS spherical coverage results, change Pol</w:t>
            </w:r>
            <w:r w:rsidRPr="00D14AA5">
              <w:rPr>
                <w:vertAlign w:val="subscript"/>
              </w:rPr>
              <w:t>Link,AoA</w:t>
            </w:r>
            <w:r>
              <w:rPr>
                <w:vertAlign w:val="subscript"/>
              </w:rPr>
              <w:t>2</w:t>
            </w:r>
            <w:r w:rsidRPr="00D14AA5">
              <w:rPr>
                <w:vertAlign w:val="subscript"/>
              </w:rPr>
              <w:t xml:space="preserve"> </w:t>
            </w:r>
            <w:r>
              <w:t>(Link polarization of Probe 2) to θ and perform steps a-j</w:t>
            </w:r>
          </w:p>
          <w:p w14:paraId="1022DCDE" w14:textId="3B917CBF" w:rsidR="008B0248" w:rsidRPr="008B0248" w:rsidRDefault="008B0248" w:rsidP="008B0248">
            <w:pPr>
              <w:numPr>
                <w:ilvl w:val="1"/>
                <w:numId w:val="34"/>
              </w:numPr>
              <w:spacing w:after="60"/>
            </w:pPr>
            <w:r>
              <w:t>Reduce the separation between RRM baseline probes by 30</w:t>
            </w:r>
            <w:r w:rsidRPr="00573148">
              <w:rPr>
                <w:vertAlign w:val="superscript"/>
              </w:rPr>
              <w:t>o</w:t>
            </w:r>
            <w:r>
              <w:t xml:space="preserve"> and perform steps a-l until a passing set of EIS spherical coverage results is found</w:t>
            </w:r>
          </w:p>
        </w:tc>
      </w:tr>
    </w:tbl>
    <w:p w14:paraId="04579604" w14:textId="10A8B79C" w:rsidR="00284452" w:rsidRDefault="00284452" w:rsidP="00A9040E">
      <w:pPr>
        <w:spacing w:before="120"/>
        <w:ind w:left="43"/>
        <w:rPr>
          <w:rFonts w:eastAsia="Batang"/>
        </w:rPr>
      </w:pPr>
      <w:r>
        <w:rPr>
          <w:rFonts w:eastAsia="Batang"/>
        </w:rPr>
        <w:t>Here, it is important to point out that any given direction might be able to satisfy</w:t>
      </w:r>
      <w:r w:rsidR="00412F48">
        <w:rPr>
          <w:rFonts w:eastAsia="Batang"/>
        </w:rPr>
        <w:t xml:space="preserve"> a given pre-condition for the fine beam but not necessarily the rough beam or vice versa. An example </w:t>
      </w:r>
      <w:r w:rsidR="00E0173F">
        <w:rPr>
          <w:rFonts w:eastAsia="Batang"/>
        </w:rPr>
        <w:t>of</w:t>
      </w:r>
      <w:r w:rsidR="00412F48">
        <w:rPr>
          <w:rFonts w:eastAsia="Batang"/>
        </w:rPr>
        <w:t xml:space="preserve"> such behaviour is outlined in </w:t>
      </w:r>
      <w:r w:rsidR="00412F48">
        <w:rPr>
          <w:rFonts w:eastAsia="Batang"/>
        </w:rPr>
        <w:fldChar w:fldCharType="begin"/>
      </w:r>
      <w:r w:rsidR="00412F48">
        <w:rPr>
          <w:rFonts w:eastAsia="Batang"/>
        </w:rPr>
        <w:instrText xml:space="preserve"> REF _Ref1074346 \h </w:instrText>
      </w:r>
      <w:r w:rsidR="00412F48">
        <w:rPr>
          <w:rFonts w:eastAsia="Batang"/>
        </w:rPr>
      </w:r>
      <w:r w:rsidR="00412F48">
        <w:rPr>
          <w:rFonts w:eastAsia="Batang"/>
        </w:rPr>
        <w:fldChar w:fldCharType="separate"/>
      </w:r>
      <w:r w:rsidR="00412F48">
        <w:t xml:space="preserve">Figure </w:t>
      </w:r>
      <w:r w:rsidR="00412F48">
        <w:rPr>
          <w:noProof/>
        </w:rPr>
        <w:t>1</w:t>
      </w:r>
      <w:r w:rsidR="00412F48">
        <w:rPr>
          <w:rFonts w:eastAsia="Batang"/>
        </w:rPr>
        <w:fldChar w:fldCharType="end"/>
      </w:r>
      <w:r w:rsidR="00412F48">
        <w:rPr>
          <w:rFonts w:eastAsia="Batang"/>
        </w:rPr>
        <w:t xml:space="preserve"> where in AoA direction 1, AoA</w:t>
      </w:r>
      <w:r w:rsidR="00412F48" w:rsidRPr="00412F48">
        <w:rPr>
          <w:rFonts w:eastAsia="Batang"/>
          <w:vertAlign w:val="subscript"/>
        </w:rPr>
        <w:t>1</w:t>
      </w:r>
      <w:r w:rsidR="00412F48">
        <w:rPr>
          <w:rFonts w:eastAsia="Batang"/>
        </w:rPr>
        <w:t xml:space="preserve">, </w:t>
      </w:r>
      <w:r w:rsidR="00C8199A">
        <w:rPr>
          <w:rFonts w:eastAsia="Batang"/>
        </w:rPr>
        <w:t xml:space="preserve">the UE has a </w:t>
      </w:r>
      <w:r w:rsidR="00412F48">
        <w:rPr>
          <w:rFonts w:eastAsia="Batang"/>
        </w:rPr>
        <w:t xml:space="preserve">high-gain fine beam </w:t>
      </w:r>
      <w:r w:rsidR="00C8199A">
        <w:rPr>
          <w:rFonts w:eastAsia="Batang"/>
        </w:rPr>
        <w:t xml:space="preserve">but </w:t>
      </w:r>
      <w:r w:rsidR="00412F48">
        <w:rPr>
          <w:rFonts w:eastAsia="Batang"/>
        </w:rPr>
        <w:t xml:space="preserve">a </w:t>
      </w:r>
      <w:r w:rsidR="00C8199A">
        <w:rPr>
          <w:rFonts w:eastAsia="Batang"/>
        </w:rPr>
        <w:t>low-gain rough beam, while in AoA direction 2, AoA</w:t>
      </w:r>
      <w:r w:rsidR="00C8199A" w:rsidRPr="00C8199A">
        <w:rPr>
          <w:rFonts w:eastAsia="Batang"/>
          <w:vertAlign w:val="subscript"/>
        </w:rPr>
        <w:t>2</w:t>
      </w:r>
      <w:r w:rsidR="00C8199A">
        <w:rPr>
          <w:rFonts w:eastAsia="Batang"/>
        </w:rPr>
        <w:t>, the UE has a low-gain fine beam but a high-gain rough beam.</w:t>
      </w:r>
      <w:r w:rsidR="00E0173F">
        <w:rPr>
          <w:rFonts w:eastAsia="Batang"/>
        </w:rPr>
        <w:t xml:space="preserve"> </w:t>
      </w:r>
      <w:r w:rsidR="00573692">
        <w:rPr>
          <w:rFonts w:eastAsia="Batang"/>
        </w:rPr>
        <w:t>T</w:t>
      </w:r>
      <w:r w:rsidR="00E0173F">
        <w:rPr>
          <w:rFonts w:eastAsia="Batang"/>
        </w:rPr>
        <w:t xml:space="preserve">his </w:t>
      </w:r>
      <w:r w:rsidR="00573692">
        <w:rPr>
          <w:rFonts w:eastAsia="Batang"/>
        </w:rPr>
        <w:t xml:space="preserve">outlined </w:t>
      </w:r>
      <w:r w:rsidR="00E0173F">
        <w:rPr>
          <w:rFonts w:eastAsia="Batang"/>
        </w:rPr>
        <w:t xml:space="preserve">behaviour might be unintended and most UE/chipset vendors would try to design the antenna arrays with fine and rough beams that </w:t>
      </w:r>
      <w:r w:rsidR="00573692">
        <w:rPr>
          <w:rFonts w:eastAsia="Batang"/>
        </w:rPr>
        <w:t xml:space="preserve">scale proportionally, i.e., a good (poor) fine beam will have a good (poor) rough beam. However, loading of the antenna not anticipated during the antenna design stage, e.g., </w:t>
      </w:r>
      <w:r w:rsidR="00B170F0">
        <w:rPr>
          <w:rFonts w:eastAsia="Batang"/>
        </w:rPr>
        <w:t>finger</w:t>
      </w:r>
      <w:r w:rsidR="00573692">
        <w:rPr>
          <w:rFonts w:eastAsia="Batang"/>
        </w:rPr>
        <w:t xml:space="preserve">, phone case, or body loading in real-world </w:t>
      </w:r>
      <w:r w:rsidR="00B170F0">
        <w:rPr>
          <w:rFonts w:eastAsia="Batang"/>
        </w:rPr>
        <w:t>environments or support structure loading in lab testing environments</w:t>
      </w:r>
      <w:r w:rsidR="00573692">
        <w:rPr>
          <w:rFonts w:eastAsia="Batang"/>
        </w:rPr>
        <w:t xml:space="preserve">, </w:t>
      </w:r>
      <w:r w:rsidR="00B170F0">
        <w:rPr>
          <w:rFonts w:eastAsia="Batang"/>
        </w:rPr>
        <w:t xml:space="preserve">could result in the behaviour illustrated in </w:t>
      </w:r>
      <w:r w:rsidR="00B170F0">
        <w:rPr>
          <w:rFonts w:eastAsia="Batang"/>
        </w:rPr>
        <w:fldChar w:fldCharType="begin"/>
      </w:r>
      <w:r w:rsidR="00B170F0">
        <w:rPr>
          <w:rFonts w:eastAsia="Batang"/>
        </w:rPr>
        <w:instrText xml:space="preserve"> REF _Ref1074346 \h </w:instrText>
      </w:r>
      <w:r w:rsidR="00B170F0">
        <w:rPr>
          <w:rFonts w:eastAsia="Batang"/>
        </w:rPr>
      </w:r>
      <w:r w:rsidR="00B170F0">
        <w:rPr>
          <w:rFonts w:eastAsia="Batang"/>
        </w:rPr>
        <w:fldChar w:fldCharType="separate"/>
      </w:r>
      <w:r w:rsidR="00B170F0">
        <w:t xml:space="preserve">Figure </w:t>
      </w:r>
      <w:r w:rsidR="00B170F0">
        <w:rPr>
          <w:noProof/>
        </w:rPr>
        <w:t>1</w:t>
      </w:r>
      <w:r w:rsidR="00B170F0">
        <w:rPr>
          <w:rFonts w:eastAsia="Batang"/>
        </w:rPr>
        <w:fldChar w:fldCharType="end"/>
      </w:r>
      <w:r w:rsidR="00B170F0">
        <w:rPr>
          <w:rFonts w:eastAsia="Batang"/>
        </w:rPr>
        <w:fldChar w:fldCharType="begin"/>
      </w:r>
      <w:r w:rsidR="00B170F0">
        <w:rPr>
          <w:rFonts w:eastAsia="Batang"/>
        </w:rPr>
        <w:instrText xml:space="preserve"> REF _Ref1074346 \h </w:instrText>
      </w:r>
      <w:r w:rsidR="00B170F0">
        <w:rPr>
          <w:rFonts w:eastAsia="Batang"/>
        </w:rPr>
      </w:r>
      <w:r w:rsidR="00B170F0">
        <w:rPr>
          <w:rFonts w:eastAsia="Batang"/>
        </w:rPr>
        <w:fldChar w:fldCharType="separate"/>
      </w:r>
      <w:r w:rsidR="00B170F0">
        <w:t>.</w:t>
      </w:r>
      <w:r w:rsidR="00B170F0">
        <w:rPr>
          <w:rFonts w:eastAsia="Batang"/>
        </w:rPr>
        <w:fldChar w:fldCharType="end"/>
      </w:r>
    </w:p>
    <w:p w14:paraId="5D29438F" w14:textId="7645E37A" w:rsidR="00A9040E" w:rsidRPr="00A9040E" w:rsidRDefault="00A9040E" w:rsidP="00B170F0">
      <w:pPr>
        <w:ind w:left="48"/>
        <w:jc w:val="center"/>
        <w:rPr>
          <w:rFonts w:eastAsia="Batang"/>
        </w:rPr>
      </w:pPr>
      <w:r w:rsidRPr="00A9040E">
        <w:rPr>
          <w:noProof/>
        </w:rPr>
        <w:lastRenderedPageBreak/>
        <w:drawing>
          <wp:inline distT="0" distB="0" distL="0" distR="0" wp14:anchorId="0A08EB8C" wp14:editId="4FEC1632">
            <wp:extent cx="4572000" cy="36402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4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0AFBF" w14:textId="4DBF03B5" w:rsidR="009926CB" w:rsidRDefault="009926CB" w:rsidP="00B170F0">
      <w:pPr>
        <w:pStyle w:val="Caption"/>
        <w:jc w:val="center"/>
      </w:pPr>
      <w:bookmarkStart w:id="2" w:name="_Ref1074346"/>
      <w:bookmarkStart w:id="3" w:name="_Ref10743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Illustration of Fine and Rough Beams in two AoAs</w:t>
      </w:r>
      <w:bookmarkEnd w:id="3"/>
    </w:p>
    <w:p w14:paraId="12D71F0E" w14:textId="77777777" w:rsidR="008B0248" w:rsidRDefault="008B0248" w:rsidP="009D78BE"/>
    <w:p w14:paraId="33FE2845" w14:textId="0247AD7C" w:rsidR="009D78BE" w:rsidRDefault="009D78BE" w:rsidP="009D78BE">
      <w:r>
        <w:t xml:space="preserve">It is therefore essential to perform </w:t>
      </w:r>
      <w:r w:rsidR="00231746">
        <w:t xml:space="preserve">the </w:t>
      </w:r>
      <w:r>
        <w:t>AoA selection process</w:t>
      </w:r>
      <w:r w:rsidR="00231746">
        <w:t xml:space="preserve"> separately for Type 1 and Type 2 requirements.</w:t>
      </w:r>
    </w:p>
    <w:p w14:paraId="4E9189A6" w14:textId="323CDC55" w:rsidR="00231746" w:rsidRPr="009D78BE" w:rsidRDefault="00231746" w:rsidP="00231746">
      <w:pPr>
        <w:pStyle w:val="Caption"/>
      </w:pPr>
      <w:bookmarkStart w:id="4" w:name="_Ref10779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Perform the AoA selection process separately for Type 1 and Type 2 requirements.</w:t>
      </w:r>
      <w:bookmarkEnd w:id="4"/>
      <w:r>
        <w:t xml:space="preserve">  </w:t>
      </w:r>
    </w:p>
    <w:bookmarkEnd w:id="0"/>
    <w:p w14:paraId="6D5AF5FA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559B5DDF" w14:textId="63DD7EBF" w:rsidR="008B0529" w:rsidRDefault="0053435C" w:rsidP="008B0529">
      <w:r>
        <w:t>The following observations and proposals were made in this contribution</w:t>
      </w:r>
    </w:p>
    <w:p w14:paraId="4354455F" w14:textId="57C679FD" w:rsidR="00231746" w:rsidRPr="00231746" w:rsidRDefault="00231746" w:rsidP="008B0529">
      <w:pPr>
        <w:rPr>
          <w:b/>
        </w:rPr>
      </w:pPr>
      <w:r w:rsidRPr="00231746">
        <w:rPr>
          <w:b/>
        </w:rPr>
        <w:fldChar w:fldCharType="begin"/>
      </w:r>
      <w:r w:rsidRPr="00231746">
        <w:rPr>
          <w:b/>
        </w:rPr>
        <w:instrText xml:space="preserve"> REF _Ref1077998 \h </w:instrText>
      </w:r>
      <w:r>
        <w:rPr>
          <w:b/>
        </w:rPr>
        <w:instrText xml:space="preserve"> \* MERGEFORMAT </w:instrText>
      </w:r>
      <w:r w:rsidRPr="00231746">
        <w:rPr>
          <w:b/>
        </w:rPr>
      </w:r>
      <w:r w:rsidRPr="00231746">
        <w:rPr>
          <w:b/>
        </w:rPr>
        <w:fldChar w:fldCharType="separate"/>
      </w:r>
      <w:r w:rsidRPr="00231746">
        <w:rPr>
          <w:b/>
        </w:rPr>
        <w:t xml:space="preserve">Proposal </w:t>
      </w:r>
      <w:r w:rsidRPr="00231746">
        <w:rPr>
          <w:b/>
          <w:noProof/>
        </w:rPr>
        <w:t>1</w:t>
      </w:r>
      <w:r w:rsidRPr="00231746">
        <w:rPr>
          <w:b/>
        </w:rPr>
        <w:t>: Perform the AoA selection process separately for Type 1 and Type 2 requirements.</w:t>
      </w:r>
      <w:r w:rsidRPr="00231746">
        <w:rPr>
          <w:b/>
        </w:rPr>
        <w:fldChar w:fldCharType="end"/>
      </w:r>
    </w:p>
    <w:p w14:paraId="446D1D2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9039B7D" w14:textId="7A725597" w:rsidR="004F374D" w:rsidRDefault="004F374D" w:rsidP="004F374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521398402"/>
      <w:bookmarkStart w:id="6" w:name="_Ref520225792"/>
      <w:bookmarkStart w:id="7" w:name="_Hlk528392332"/>
      <w:r w:rsidRPr="00215AF4">
        <w:t>TR 38.810</w:t>
      </w:r>
      <w:r>
        <w:t xml:space="preserve">, </w:t>
      </w:r>
      <w:r w:rsidRPr="00215AF4">
        <w:t>Study on test methods for New Radio</w:t>
      </w:r>
      <w:r w:rsidR="0079646A">
        <w:t>, V16.1</w:t>
      </w:r>
      <w:r>
        <w:t>.0 (2018-</w:t>
      </w:r>
      <w:r w:rsidR="0079646A">
        <w:t>12</w:t>
      </w:r>
      <w:r>
        <w:t>)</w:t>
      </w:r>
      <w:bookmarkEnd w:id="5"/>
    </w:p>
    <w:p w14:paraId="2E072EFE" w14:textId="1A5C3FFA" w:rsidR="009D78BE" w:rsidRDefault="009D78BE" w:rsidP="009D78B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078121"/>
      <w:bookmarkStart w:id="9" w:name="_Ref521612205"/>
      <w:bookmarkEnd w:id="6"/>
      <w:r w:rsidRPr="009D78BE">
        <w:t>R4-1813580</w:t>
      </w:r>
      <w:r>
        <w:t xml:space="preserve">, </w:t>
      </w:r>
      <w:r w:rsidRPr="009D78BE">
        <w:t>On Re-Using EIS Spherical Coverage Results for RRM</w:t>
      </w:r>
      <w:r>
        <w:t xml:space="preserve">, Keysight Technologies, </w:t>
      </w:r>
      <w:r w:rsidRPr="009D78BE">
        <w:t>3GPP TSG-RAN WG4 Meeting #88</w:t>
      </w:r>
      <w:r>
        <w:t>, October 2018</w:t>
      </w:r>
      <w:bookmarkEnd w:id="8"/>
    </w:p>
    <w:p w14:paraId="0A70C0BD" w14:textId="55580D68" w:rsidR="00084983" w:rsidRDefault="004F374D" w:rsidP="004F374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TS38.101-2, User Equipment (UE) radio transmission and reception; Part 2: Range 2 Standalone, </w:t>
      </w:r>
      <w:r w:rsidRPr="007D638E">
        <w:t>V15.</w:t>
      </w:r>
      <w:r w:rsidR="00A25AEB">
        <w:t>3</w:t>
      </w:r>
      <w:r w:rsidRPr="007D638E">
        <w:t>.0 (2018-0</w:t>
      </w:r>
      <w:r w:rsidR="00A25AEB">
        <w:t>9</w:t>
      </w:r>
      <w:r w:rsidRPr="007D638E">
        <w:t>)</w:t>
      </w:r>
      <w:bookmarkEnd w:id="7"/>
      <w:bookmarkEnd w:id="9"/>
    </w:p>
    <w:sectPr w:rsidR="000849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308" w:rsidRDefault="002A5308" w14:paraId="317D2AAE" w14:textId="77777777">
      <w:r>
        <w:separator/>
      </w:r>
    </w:p>
  </w:endnote>
  <w:endnote w:type="continuationSeparator" w:id="0">
    <w:p w:rsidR="002A5308" w:rsidRDefault="002A5308" w14:paraId="59696EBA" w14:textId="77777777">
      <w:r>
        <w:continuationSeparator/>
      </w:r>
    </w:p>
  </w:endnote>
  <w:endnote w:type="continuationNotice" w:id="1">
    <w:p w:rsidR="002A5308" w:rsidRDefault="002A5308" w14:paraId="24E74C7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308" w:rsidRDefault="002A5308" w14:paraId="2A1C270E" w14:textId="77777777">
      <w:r>
        <w:separator/>
      </w:r>
    </w:p>
  </w:footnote>
  <w:footnote w:type="continuationSeparator" w:id="0">
    <w:p w:rsidR="002A5308" w:rsidRDefault="002A5308" w14:paraId="15EF071F" w14:textId="77777777">
      <w:r>
        <w:continuationSeparator/>
      </w:r>
    </w:p>
  </w:footnote>
  <w:footnote w:type="continuationNotice" w:id="1">
    <w:p w:rsidR="002A5308" w:rsidRDefault="002A5308" w14:paraId="704339F7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6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10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12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3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48C208E"/>
    <w:multiLevelType w:val="hybridMultilevel"/>
    <w:tmpl w:val="1EA86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2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4" w15:restartNumberingAfterBreak="0">
    <w:nsid w:val="706F30A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27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Malgun Gothic" w:cs="Times New Roman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29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2"/>
  </w:num>
  <w:num w:numId="4">
    <w:abstractNumId w:val="28"/>
  </w:num>
  <w:num w:numId="5">
    <w:abstractNumId w:val="1"/>
  </w:num>
  <w:num w:numId="6">
    <w:abstractNumId w:val="12"/>
  </w:num>
  <w:num w:numId="7">
    <w:abstractNumId w:val="10"/>
  </w:num>
  <w:num w:numId="8">
    <w:abstractNumId w:val="6"/>
  </w:num>
  <w:num w:numId="9">
    <w:abstractNumId w:val="17"/>
  </w:num>
  <w:num w:numId="10">
    <w:abstractNumId w:val="4"/>
  </w:num>
  <w:num w:numId="11">
    <w:abstractNumId w:val="22"/>
  </w:num>
  <w:num w:numId="12">
    <w:abstractNumId w:val="9"/>
  </w:num>
  <w:num w:numId="13">
    <w:abstractNumId w:val="21"/>
  </w:num>
  <w:num w:numId="14">
    <w:abstractNumId w:val="27"/>
  </w:num>
  <w:num w:numId="15">
    <w:abstractNumId w:val="8"/>
  </w:num>
  <w:num w:numId="16">
    <w:abstractNumId w:val="26"/>
  </w:num>
  <w:num w:numId="17">
    <w:abstractNumId w:val="5"/>
  </w:num>
  <w:num w:numId="18">
    <w:abstractNumId w:val="19"/>
  </w:num>
  <w:num w:numId="19">
    <w:abstractNumId w:val="14"/>
  </w:num>
  <w:num w:numId="20">
    <w:abstractNumId w:val="20"/>
  </w:num>
  <w:num w:numId="21">
    <w:abstractNumId w:val="25"/>
  </w:num>
  <w:num w:numId="22">
    <w:abstractNumId w:val="18"/>
  </w:num>
  <w:num w:numId="23">
    <w:abstractNumId w:val="16"/>
  </w:num>
  <w:num w:numId="24">
    <w:abstractNumId w:val="7"/>
  </w:num>
  <w:num w:numId="25">
    <w:abstractNumId w:val="3"/>
  </w:num>
  <w:num w:numId="26">
    <w:abstractNumId w:val="19"/>
  </w:num>
  <w:num w:numId="27">
    <w:abstractNumId w:val="19"/>
  </w:num>
  <w:num w:numId="28">
    <w:abstractNumId w:val="19"/>
  </w:num>
  <w:num w:numId="29">
    <w:abstractNumId w:val="13"/>
  </w:num>
  <w:num w:numId="30">
    <w:abstractNumId w:val="11"/>
  </w:num>
  <w:num w:numId="31">
    <w:abstractNumId w:val="29"/>
  </w:num>
  <w:num w:numId="32">
    <w:abstractNumId w:val="23"/>
  </w:num>
  <w:num w:numId="33">
    <w:abstractNumId w:val="15"/>
  </w:num>
  <w:num w:numId="34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47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155C"/>
    <w:rsid w:val="00212373"/>
    <w:rsid w:val="002138EA"/>
    <w:rsid w:val="00214FBD"/>
    <w:rsid w:val="00222897"/>
    <w:rsid w:val="0022419C"/>
    <w:rsid w:val="00231746"/>
    <w:rsid w:val="00234D1C"/>
    <w:rsid w:val="00235394"/>
    <w:rsid w:val="0023581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4452"/>
    <w:rsid w:val="00287895"/>
    <w:rsid w:val="00287C09"/>
    <w:rsid w:val="0029076F"/>
    <w:rsid w:val="00293732"/>
    <w:rsid w:val="00296B9F"/>
    <w:rsid w:val="002A4112"/>
    <w:rsid w:val="002A5308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F1357"/>
    <w:rsid w:val="002F4093"/>
    <w:rsid w:val="002F5FAD"/>
    <w:rsid w:val="00300544"/>
    <w:rsid w:val="00306D8E"/>
    <w:rsid w:val="00307D2C"/>
    <w:rsid w:val="00313528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4006F6"/>
    <w:rsid w:val="0040097C"/>
    <w:rsid w:val="0040139E"/>
    <w:rsid w:val="004026D0"/>
    <w:rsid w:val="004048A9"/>
    <w:rsid w:val="00412F48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4225"/>
    <w:rsid w:val="0046266D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73692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4E6C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D03"/>
    <w:rsid w:val="007927CF"/>
    <w:rsid w:val="0079646A"/>
    <w:rsid w:val="00797994"/>
    <w:rsid w:val="007A4551"/>
    <w:rsid w:val="007A4F68"/>
    <w:rsid w:val="007A5139"/>
    <w:rsid w:val="007A6059"/>
    <w:rsid w:val="007B03C6"/>
    <w:rsid w:val="007B0584"/>
    <w:rsid w:val="007B5856"/>
    <w:rsid w:val="007C6DD8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0C86"/>
    <w:rsid w:val="008A1A84"/>
    <w:rsid w:val="008A6143"/>
    <w:rsid w:val="008B0248"/>
    <w:rsid w:val="008B0529"/>
    <w:rsid w:val="008B5C74"/>
    <w:rsid w:val="008C2308"/>
    <w:rsid w:val="008C60E9"/>
    <w:rsid w:val="008C7836"/>
    <w:rsid w:val="008D7BED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76F61"/>
    <w:rsid w:val="00980E79"/>
    <w:rsid w:val="00982B7E"/>
    <w:rsid w:val="00983910"/>
    <w:rsid w:val="00984E5F"/>
    <w:rsid w:val="009913F6"/>
    <w:rsid w:val="009926CB"/>
    <w:rsid w:val="00992B5F"/>
    <w:rsid w:val="00997D88"/>
    <w:rsid w:val="009C0727"/>
    <w:rsid w:val="009C6214"/>
    <w:rsid w:val="009D28E0"/>
    <w:rsid w:val="009D78BE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4CFE"/>
    <w:rsid w:val="00A77EC9"/>
    <w:rsid w:val="00A8094A"/>
    <w:rsid w:val="00A80BEF"/>
    <w:rsid w:val="00A81B15"/>
    <w:rsid w:val="00A82056"/>
    <w:rsid w:val="00A85286"/>
    <w:rsid w:val="00A85DBC"/>
    <w:rsid w:val="00A9040E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F3407"/>
    <w:rsid w:val="00AF5AD3"/>
    <w:rsid w:val="00B0589A"/>
    <w:rsid w:val="00B14BC8"/>
    <w:rsid w:val="00B170F0"/>
    <w:rsid w:val="00B17858"/>
    <w:rsid w:val="00B20C57"/>
    <w:rsid w:val="00B21D87"/>
    <w:rsid w:val="00B22ADA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6605A"/>
    <w:rsid w:val="00B7370C"/>
    <w:rsid w:val="00B73955"/>
    <w:rsid w:val="00B75741"/>
    <w:rsid w:val="00B8446C"/>
    <w:rsid w:val="00B92920"/>
    <w:rsid w:val="00B93A4D"/>
    <w:rsid w:val="00B943D6"/>
    <w:rsid w:val="00BA0D2D"/>
    <w:rsid w:val="00BA47FD"/>
    <w:rsid w:val="00BA5EFD"/>
    <w:rsid w:val="00BA6C23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A05"/>
    <w:rsid w:val="00BE5CA5"/>
    <w:rsid w:val="00BE5CB9"/>
    <w:rsid w:val="00BF5875"/>
    <w:rsid w:val="00C050BC"/>
    <w:rsid w:val="00C050CF"/>
    <w:rsid w:val="00C06487"/>
    <w:rsid w:val="00C065DE"/>
    <w:rsid w:val="00C1494B"/>
    <w:rsid w:val="00C14DE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199A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173F"/>
    <w:rsid w:val="00E038CE"/>
    <w:rsid w:val="00E0463C"/>
    <w:rsid w:val="00E077C9"/>
    <w:rsid w:val="00E11C02"/>
    <w:rsid w:val="00E15ED1"/>
    <w:rsid w:val="00E21128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6467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66A"/>
    <w:rsid w:val="00EE2605"/>
    <w:rsid w:val="00EE3A95"/>
    <w:rsid w:val="00EE5692"/>
    <w:rsid w:val="00EE6221"/>
    <w:rsid w:val="00EE7690"/>
    <w:rsid w:val="00EF011F"/>
    <w:rsid w:val="00EF325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35B4"/>
    <w:rsid w:val="00FB2CFC"/>
    <w:rsid w:val="00FB560E"/>
    <w:rsid w:val="00FB69E7"/>
    <w:rsid w:val="00FC051F"/>
    <w:rsid w:val="00FC5F9D"/>
    <w:rsid w:val="00FD16E0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01533FB2"/>
  <w15:chartTrackingRefBased/>
  <w15:docId w15:val="{B0B40419-4461-4CC2-B205-7559D8CB30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Malgun Gothic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EQ" w:customStyle="1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AH" w:customStyle="1">
    <w:name w:val="TAH"/>
    <w:basedOn w:val="TAC"/>
    <w:link w:val="TAHC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/>
    </w:rPr>
  </w:style>
  <w:style w:type="paragraph" w:styleId="TF" w:customStyle="1">
    <w:name w:val="TF"/>
    <w:aliases w:val="left"/>
    <w:basedOn w:val="TH"/>
    <w:link w:val="TFChar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INDENT1" w:customStyle="1">
    <w:name w:val="INDENT1"/>
    <w:basedOn w:val="Normal"/>
    <w:pPr>
      <w:ind w:left="851"/>
    </w:pPr>
  </w:style>
  <w:style w:type="paragraph" w:styleId="INDENT2" w:customStyle="1">
    <w:name w:val="INDENT2"/>
    <w:basedOn w:val="Normal"/>
    <w:pPr>
      <w:ind w:left="1135" w:hanging="284"/>
    </w:pPr>
  </w:style>
  <w:style w:type="paragraph" w:styleId="INDENT3" w:customStyle="1">
    <w:name w:val="INDENT3"/>
    <w:basedOn w:val="Normal"/>
    <w:pPr>
      <w:ind w:left="1701" w:hanging="567"/>
    </w:pPr>
  </w:style>
  <w:style w:type="paragraph" w:styleId="FigureTitle" w:customStyle="1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styleId="TALChar" w:customStyle="1">
    <w:name w:val="TAL Char"/>
    <w:link w:val="TAL"/>
    <w:rsid w:val="00064500"/>
    <w:rPr>
      <w:rFonts w:ascii="Arial" w:hAnsi="Arial"/>
      <w:sz w:val="18"/>
      <w:lang w:val="en-GB"/>
    </w:rPr>
  </w:style>
  <w:style w:type="paragraph" w:styleId="enumlev2" w:customStyle="1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ouvRecTitle" w:customStyle="1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TAJ" w:customStyle="1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Guidance" w:customStyle="1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styleId="BalloonTextChar" w:customStyle="1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styleId="B1Char" w:customStyle="1">
    <w:name w:val="B1 Char"/>
    <w:link w:val="B1"/>
    <w:rsid w:val="006B1C2F"/>
    <w:rPr>
      <w:lang w:val="en-GB"/>
    </w:rPr>
  </w:style>
  <w:style w:type="character" w:styleId="TAHCar" w:customStyle="1">
    <w:name w:val="TAH Car"/>
    <w:link w:val="TAH"/>
    <w:rsid w:val="006B1C2F"/>
    <w:rPr>
      <w:rFonts w:ascii="Arial" w:hAnsi="Arial"/>
      <w:b/>
      <w:sz w:val="18"/>
      <w:lang w:val="en-GB"/>
    </w:rPr>
  </w:style>
  <w:style w:type="character" w:styleId="TACChar" w:customStyle="1">
    <w:name w:val="TAC Char"/>
    <w:link w:val="TAC"/>
    <w:rsid w:val="00A56613"/>
    <w:rPr>
      <w:rFonts w:ascii="Arial" w:hAnsi="Arial"/>
      <w:sz w:val="18"/>
      <w:lang w:val="en-GB"/>
    </w:rPr>
  </w:style>
  <w:style w:type="character" w:styleId="TFChar" w:customStyle="1">
    <w:name w:val="TF Char"/>
    <w:link w:val="TF"/>
    <w:rsid w:val="00A165D9"/>
    <w:rPr>
      <w:rFonts w:ascii="Arial" w:hAnsi="Arial"/>
      <w:b/>
      <w:lang w:val="en-GB"/>
    </w:rPr>
  </w:style>
  <w:style w:type="character" w:styleId="THChar" w:customStyle="1">
    <w:name w:val="TH Char"/>
    <w:link w:val="TH"/>
    <w:locked/>
    <w:rsid w:val="00064500"/>
    <w:rPr>
      <w:rFonts w:ascii="Arial" w:hAnsi="Arial"/>
      <w:b/>
      <w:lang w:val="en-GB"/>
    </w:rPr>
  </w:style>
  <w:style w:type="character" w:styleId="B1Char1" w:customStyle="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styleId="TALCar" w:customStyle="1">
    <w:name w:val="TAL Car"/>
    <w:locked/>
    <w:rsid w:val="00AE116C"/>
    <w:rPr>
      <w:rFonts w:ascii="Arial" w:hAnsi="Arial" w:eastAsia="Times New Roman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styleId="CommentTextChar" w:customStyle="1">
    <w:name w:val="Comment Text Char"/>
    <w:link w:val="CommentText"/>
    <w:semiHidden/>
    <w:rsid w:val="00A515A6"/>
    <w:rPr>
      <w:lang w:val="en-GB"/>
    </w:rPr>
  </w:style>
  <w:style w:type="character" w:styleId="CommentSubjectChar" w:customStyle="1">
    <w:name w:val="Comment Subject Char"/>
    <w:link w:val="CommentSubject"/>
    <w:rsid w:val="00A515A6"/>
    <w:rPr>
      <w:b/>
      <w:bCs/>
      <w:lang w:val="en-GB"/>
    </w:rPr>
  </w:style>
  <w:style w:type="character" w:styleId="EQChar" w:customStyle="1">
    <w:name w:val="EQ Char"/>
    <w:link w:val="EQ"/>
    <w:rsid w:val="009D7F67"/>
    <w:rPr>
      <w:noProof/>
      <w:lang w:eastAsia="en-US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styleId="a" w:customStyle="1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0" ma:contentTypeDescription="Create a new document." ma:contentTypeScope="" ma:versionID="63ea3380e8959d8826adac6c32f07b14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27a5bab7bbb5d56c81d39dbf537fecc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9658D-6DEF-4691-8665-FA052E055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3DB48-E542-4D55-9B22-CB3DB01C22C3}">
  <ds:schemaRefs>
    <ds:schemaRef ds:uri="http://purl.org/dc/terms/"/>
    <ds:schemaRef ds:uri="http://purl.org/dc/dcmitype/"/>
    <ds:schemaRef ds:uri="http://schemas.microsoft.com/office/2006/documentManagement/types"/>
    <ds:schemaRef ds:uri="878f5c59-aec9-459c-acf8-8cf94147319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dd78157-346c-4767-bfdd-352789a5c5f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7632CB9-CC14-4239-AB9C-864ECFAD0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A20AB-4F73-4D72-AECD-E2653335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1106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</cp:lastModifiedBy>
  <cp:revision>8</cp:revision>
  <dcterms:created xsi:type="dcterms:W3CDTF">2019-02-05T04:08:00Z</dcterms:created>
  <dcterms:modified xsi:type="dcterms:W3CDTF">2019-02-15T20:47:00Z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AuthorIds_UIVersion_512">
    <vt:lpwstr>6</vt:lpwstr>
  </property>
</Properties>
</file>